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CBFAF" w14:textId="77777777" w:rsidR="0027292C" w:rsidRPr="0027292C" w:rsidRDefault="0027292C" w:rsidP="0027292C">
      <w:pPr>
        <w:pStyle w:val="xxxmsonormal1"/>
        <w:shd w:val="clear" w:color="auto" w:fill="FFFFFF"/>
        <w:spacing w:before="0" w:beforeAutospacing="0" w:after="0" w:afterAutospacing="0" w:line="360" w:lineRule="atLeast"/>
        <w:jc w:val="both"/>
        <w:rPr>
          <w:rFonts w:ascii="inherit" w:hAnsi="inherit" w:cs="Times New Roman" w:hint="eastAsia"/>
          <w:color w:val="000000"/>
          <w:sz w:val="24"/>
          <w:szCs w:val="24"/>
          <w:bdr w:val="none" w:sz="0" w:space="0" w:color="auto" w:frame="1"/>
        </w:rPr>
      </w:pPr>
      <w:r w:rsidRPr="0027292C">
        <w:rPr>
          <w:rFonts w:ascii="inherit" w:hAnsi="inherit" w:cs="Times New Roman"/>
          <w:color w:val="000000"/>
          <w:sz w:val="24"/>
          <w:szCs w:val="24"/>
          <w:bdr w:val="none" w:sz="0" w:space="0" w:color="auto" w:frame="1"/>
        </w:rPr>
        <w:t>PROGETTO DI RICERCA</w:t>
      </w:r>
    </w:p>
    <w:p w14:paraId="7012A744" w14:textId="77777777" w:rsidR="0027292C" w:rsidRDefault="0027292C" w:rsidP="0027292C">
      <w:pPr>
        <w:pStyle w:val="xxxmsonormal1"/>
        <w:shd w:val="clear" w:color="auto" w:fill="FFFFFF"/>
        <w:spacing w:before="0" w:beforeAutospacing="0" w:after="0" w:afterAutospacing="0" w:line="360" w:lineRule="atLeast"/>
        <w:jc w:val="both"/>
        <w:rPr>
          <w:rFonts w:ascii="inherit" w:hAnsi="inherit" w:cs="Times New Roman" w:hint="eastAsia"/>
          <w:color w:val="000000"/>
          <w:sz w:val="24"/>
          <w:szCs w:val="24"/>
          <w:bdr w:val="none" w:sz="0" w:space="0" w:color="auto" w:frame="1"/>
        </w:rPr>
      </w:pPr>
    </w:p>
    <w:p w14:paraId="16A7BDF0" w14:textId="77777777" w:rsidR="0027292C" w:rsidRDefault="0027292C" w:rsidP="0027292C">
      <w:pPr>
        <w:pStyle w:val="xxxmsonormal1"/>
        <w:shd w:val="clear" w:color="auto" w:fill="FFFFFF"/>
        <w:spacing w:line="360" w:lineRule="atLeast"/>
        <w:jc w:val="both"/>
        <w:rPr>
          <w:rFonts w:ascii="inherit" w:hAnsi="inherit" w:cs="Times New Roman" w:hint="eastAsia"/>
          <w:color w:val="000000"/>
          <w:sz w:val="24"/>
          <w:szCs w:val="24"/>
          <w:bdr w:val="none" w:sz="0" w:space="0" w:color="auto" w:frame="1"/>
        </w:rPr>
      </w:pPr>
      <w:r>
        <w:rPr>
          <w:rFonts w:ascii="inherit" w:hAnsi="inherit" w:cs="Times New Roman"/>
          <w:color w:val="000000"/>
          <w:sz w:val="24"/>
          <w:szCs w:val="24"/>
          <w:bdr w:val="none" w:sz="0" w:space="0" w:color="auto" w:frame="1"/>
        </w:rPr>
        <w:t xml:space="preserve">Il DISTAL ha una fortissima attività sul </w:t>
      </w:r>
      <w:r w:rsidRPr="00D61953">
        <w:rPr>
          <w:rFonts w:ascii="inherit" w:hAnsi="inherit" w:cs="Times New Roman"/>
          <w:color w:val="000000"/>
          <w:sz w:val="24"/>
          <w:szCs w:val="24"/>
          <w:bdr w:val="none" w:sz="0" w:space="0" w:color="auto" w:frame="1"/>
        </w:rPr>
        <w:t>piano della terza missione: ad oggi il Dipartimento conta 5 spin-off accreditati (</w:t>
      </w:r>
      <w:proofErr w:type="spellStart"/>
      <w:r w:rsidRPr="00D61953">
        <w:rPr>
          <w:rFonts w:ascii="inherit" w:hAnsi="inherit" w:cs="Times New Roman"/>
          <w:color w:val="000000"/>
          <w:sz w:val="24"/>
          <w:szCs w:val="24"/>
          <w:bdr w:val="none" w:sz="0" w:space="0" w:color="auto" w:frame="1"/>
        </w:rPr>
        <w:t>Nextema</w:t>
      </w:r>
      <w:proofErr w:type="spellEnd"/>
      <w:r w:rsidRPr="00D61953">
        <w:rPr>
          <w:rFonts w:ascii="inherit" w:hAnsi="inherit" w:cs="Times New Roman"/>
          <w:color w:val="000000"/>
          <w:sz w:val="24"/>
          <w:szCs w:val="24"/>
          <w:bdr w:val="none" w:sz="0" w:space="0" w:color="auto" w:frame="1"/>
        </w:rPr>
        <w:t xml:space="preserve">, </w:t>
      </w:r>
      <w:proofErr w:type="spellStart"/>
      <w:r w:rsidRPr="00D61953">
        <w:rPr>
          <w:rFonts w:ascii="inherit" w:hAnsi="inherit" w:cs="Times New Roman"/>
          <w:color w:val="000000"/>
          <w:sz w:val="24"/>
          <w:szCs w:val="24"/>
          <w:bdr w:val="none" w:sz="0" w:space="0" w:color="auto" w:frame="1"/>
        </w:rPr>
        <w:t>Aquaponic</w:t>
      </w:r>
      <w:proofErr w:type="spellEnd"/>
      <w:r w:rsidRPr="00D61953">
        <w:rPr>
          <w:rFonts w:ascii="inherit" w:hAnsi="inherit" w:cs="Times New Roman"/>
          <w:color w:val="000000"/>
          <w:sz w:val="24"/>
          <w:szCs w:val="24"/>
          <w:bdr w:val="none" w:sz="0" w:space="0" w:color="auto" w:frame="1"/>
        </w:rPr>
        <w:t xml:space="preserve"> Design, Ergo Consulting, Last Minute Market, Griffa); 230 brevetti</w:t>
      </w:r>
      <w:r>
        <w:rPr>
          <w:rFonts w:ascii="inherit" w:hAnsi="inherit" w:cs="Times New Roman"/>
          <w:color w:val="000000"/>
          <w:sz w:val="24"/>
          <w:szCs w:val="24"/>
          <w:bdr w:val="none" w:sz="0" w:space="0" w:color="auto" w:frame="1"/>
        </w:rPr>
        <w:t xml:space="preserve"> </w:t>
      </w:r>
      <w:r w:rsidRPr="00D61953">
        <w:rPr>
          <w:rFonts w:ascii="inherit" w:hAnsi="inherit" w:cs="Times New Roman"/>
          <w:color w:val="000000"/>
          <w:sz w:val="24"/>
          <w:szCs w:val="24"/>
          <w:bdr w:val="none" w:sz="0" w:space="0" w:color="auto" w:frame="1"/>
        </w:rPr>
        <w:t>depositati, dei quali 26 per nuove varietà vegetali (15 di ciliegio; 2 di melo, 4 di pero e 3 di kiwi). L'attività commerciale, derivante da ricerca e consulenza commissionata, include numerosi</w:t>
      </w:r>
      <w:r>
        <w:rPr>
          <w:rFonts w:ascii="inherit" w:hAnsi="inherit" w:cs="Times New Roman"/>
          <w:color w:val="000000"/>
          <w:sz w:val="24"/>
          <w:szCs w:val="24"/>
          <w:bdr w:val="none" w:sz="0" w:space="0" w:color="auto" w:frame="1"/>
        </w:rPr>
        <w:t xml:space="preserve"> </w:t>
      </w:r>
      <w:r w:rsidRPr="00D61953">
        <w:rPr>
          <w:rFonts w:ascii="inherit" w:hAnsi="inherit" w:cs="Times New Roman"/>
          <w:color w:val="000000"/>
          <w:sz w:val="24"/>
          <w:szCs w:val="24"/>
          <w:bdr w:val="none" w:sz="0" w:space="0" w:color="auto" w:frame="1"/>
        </w:rPr>
        <w:t>contratti con imprese, diversi tender europei (es. EFSA) e contratti di consulenza per rilevanti enti pubblici, quali l’Autorità di Bacino del Po, con entrate dal 2019 ad oggi superiori a 7M€.</w:t>
      </w:r>
      <w:r>
        <w:rPr>
          <w:rFonts w:ascii="inherit" w:hAnsi="inherit" w:cs="Times New Roman"/>
          <w:color w:val="000000"/>
          <w:sz w:val="24"/>
          <w:szCs w:val="24"/>
          <w:bdr w:val="none" w:sz="0" w:space="0" w:color="auto" w:frame="1"/>
        </w:rPr>
        <w:t xml:space="preserve"> </w:t>
      </w:r>
    </w:p>
    <w:p w14:paraId="3C2E58C2" w14:textId="77777777" w:rsidR="0027292C" w:rsidRDefault="0027292C" w:rsidP="0027292C">
      <w:pPr>
        <w:pStyle w:val="xxxmsonormal1"/>
        <w:shd w:val="clear" w:color="auto" w:fill="FFFFFF"/>
        <w:spacing w:line="360" w:lineRule="atLeast"/>
        <w:jc w:val="both"/>
        <w:rPr>
          <w:rFonts w:ascii="inherit" w:hAnsi="inherit" w:cs="Times New Roman" w:hint="eastAsia"/>
          <w:color w:val="000000"/>
          <w:sz w:val="24"/>
          <w:szCs w:val="24"/>
          <w:bdr w:val="none" w:sz="0" w:space="0" w:color="auto" w:frame="1"/>
        </w:rPr>
      </w:pPr>
      <w:r>
        <w:rPr>
          <w:rFonts w:ascii="inherit" w:hAnsi="inherit" w:cs="Times New Roman"/>
          <w:color w:val="000000"/>
          <w:sz w:val="24"/>
          <w:szCs w:val="24"/>
          <w:bdr w:val="none" w:sz="0" w:space="0" w:color="auto" w:frame="1"/>
        </w:rPr>
        <w:t>L</w:t>
      </w:r>
      <w:r w:rsidRPr="00D61953">
        <w:rPr>
          <w:rFonts w:ascii="inherit" w:hAnsi="inherit" w:cs="Times New Roman"/>
          <w:color w:val="000000"/>
          <w:sz w:val="24"/>
          <w:szCs w:val="24"/>
          <w:bdr w:val="none" w:sz="0" w:space="0" w:color="auto" w:frame="1"/>
        </w:rPr>
        <w:t>'attrazione di finanziamenti alla ricerca nel panorama internazionale e nazionale</w:t>
      </w:r>
      <w:r>
        <w:rPr>
          <w:rFonts w:ascii="inherit" w:hAnsi="inherit" w:cs="Times New Roman"/>
          <w:color w:val="000000"/>
          <w:sz w:val="24"/>
          <w:szCs w:val="24"/>
          <w:bdr w:val="none" w:sz="0" w:space="0" w:color="auto" w:frame="1"/>
        </w:rPr>
        <w:t xml:space="preserve"> è ancora maggiore</w:t>
      </w:r>
      <w:r w:rsidRPr="00D61953">
        <w:rPr>
          <w:rFonts w:ascii="inherit" w:hAnsi="inherit" w:cs="Times New Roman"/>
          <w:color w:val="000000"/>
          <w:sz w:val="24"/>
          <w:szCs w:val="24"/>
          <w:bdr w:val="none" w:sz="0" w:space="0" w:color="auto" w:frame="1"/>
        </w:rPr>
        <w:t>. Nell'ambito del programma H2020, Il DISTAL ha intercettato il 24% dei progetti H2020 di tutto l'Ateneo</w:t>
      </w:r>
      <w:r>
        <w:rPr>
          <w:rFonts w:ascii="inherit" w:hAnsi="inherit" w:cs="Times New Roman"/>
          <w:color w:val="000000"/>
          <w:sz w:val="24"/>
          <w:szCs w:val="24"/>
          <w:bdr w:val="none" w:sz="0" w:space="0" w:color="auto" w:frame="1"/>
        </w:rPr>
        <w:t xml:space="preserve"> </w:t>
      </w:r>
      <w:r w:rsidRPr="00D61953">
        <w:rPr>
          <w:rFonts w:ascii="inherit" w:hAnsi="inherit" w:cs="Times New Roman"/>
          <w:color w:val="000000"/>
          <w:sz w:val="24"/>
          <w:szCs w:val="24"/>
          <w:bdr w:val="none" w:sz="0" w:space="0" w:color="auto" w:frame="1"/>
        </w:rPr>
        <w:t>(primo Dipartimento per numero di progetti finanziati), coordinando 11 progetti e partecipando in 35 come partner, per un totale di oltre 15 M€ di contributo. Il DISTAL conta inoltre: 13</w:t>
      </w:r>
      <w:r>
        <w:rPr>
          <w:rFonts w:ascii="inherit" w:hAnsi="inherit" w:cs="Times New Roman"/>
          <w:color w:val="000000"/>
          <w:sz w:val="24"/>
          <w:szCs w:val="24"/>
          <w:bdr w:val="none" w:sz="0" w:space="0" w:color="auto" w:frame="1"/>
        </w:rPr>
        <w:t xml:space="preserve"> </w:t>
      </w:r>
      <w:r w:rsidRPr="00D61953">
        <w:rPr>
          <w:rFonts w:ascii="inherit" w:hAnsi="inherit" w:cs="Times New Roman"/>
          <w:color w:val="000000"/>
          <w:sz w:val="24"/>
          <w:szCs w:val="24"/>
          <w:bdr w:val="none" w:sz="0" w:space="0" w:color="auto" w:frame="1"/>
        </w:rPr>
        <w:t>progetti Horizon Europe (1 coordinato) per un totale di oltre 5M€; 5 progetti coordinati e 8 partner dell’iniziativa ex art. 185 del Trattato UE PRIMA - Partnership per la Ricerca e l'Innovazione</w:t>
      </w:r>
      <w:r>
        <w:rPr>
          <w:rFonts w:ascii="inherit" w:hAnsi="inherit" w:cs="Times New Roman"/>
          <w:color w:val="000000"/>
          <w:sz w:val="24"/>
          <w:szCs w:val="24"/>
          <w:bdr w:val="none" w:sz="0" w:space="0" w:color="auto" w:frame="1"/>
        </w:rPr>
        <w:t xml:space="preserve"> </w:t>
      </w:r>
      <w:r w:rsidRPr="00D61953">
        <w:rPr>
          <w:rFonts w:ascii="inherit" w:hAnsi="inherit" w:cs="Times New Roman"/>
          <w:color w:val="000000"/>
          <w:sz w:val="24"/>
          <w:szCs w:val="24"/>
          <w:bdr w:val="none" w:sz="0" w:space="0" w:color="auto" w:frame="1"/>
        </w:rPr>
        <w:t xml:space="preserve">nell'Area Mediterranea; 5 progetti co-finanziati da Unione Europea e Italia su JPI (468.000€); 1 progetto ERC Advanced Grant (LEAPS); 3 progetti Marie </w:t>
      </w:r>
      <w:proofErr w:type="spellStart"/>
      <w:r w:rsidRPr="00D61953">
        <w:rPr>
          <w:rFonts w:ascii="inherit" w:hAnsi="inherit" w:cs="Times New Roman"/>
          <w:color w:val="000000"/>
          <w:sz w:val="24"/>
          <w:szCs w:val="24"/>
          <w:bdr w:val="none" w:sz="0" w:space="0" w:color="auto" w:frame="1"/>
        </w:rPr>
        <w:t>Sklodowska</w:t>
      </w:r>
      <w:proofErr w:type="spellEnd"/>
      <w:r w:rsidRPr="00D61953">
        <w:rPr>
          <w:rFonts w:ascii="inherit" w:hAnsi="inherit" w:cs="Times New Roman"/>
          <w:color w:val="000000"/>
          <w:sz w:val="24"/>
          <w:szCs w:val="24"/>
          <w:bdr w:val="none" w:sz="0" w:space="0" w:color="auto" w:frame="1"/>
        </w:rPr>
        <w:t xml:space="preserve"> Curie; 9 progetti sulle KIC, in</w:t>
      </w:r>
      <w:r>
        <w:rPr>
          <w:rFonts w:ascii="inherit" w:hAnsi="inherit" w:cs="Times New Roman"/>
          <w:color w:val="000000"/>
          <w:sz w:val="24"/>
          <w:szCs w:val="24"/>
          <w:bdr w:val="none" w:sz="0" w:space="0" w:color="auto" w:frame="1"/>
        </w:rPr>
        <w:t xml:space="preserve"> </w:t>
      </w:r>
      <w:r w:rsidRPr="00D61953">
        <w:rPr>
          <w:rFonts w:ascii="inherit" w:hAnsi="inherit" w:cs="Times New Roman"/>
          <w:color w:val="000000"/>
          <w:sz w:val="24"/>
          <w:szCs w:val="24"/>
          <w:bdr w:val="none" w:sz="0" w:space="0" w:color="auto" w:frame="1"/>
        </w:rPr>
        <w:t>particolare EIT Food. A livello nazionale il DISTAL dispone di finanziamenti competitivi del MIUR, MIPAAF, MATTM, MISE per oltre 5.400.000€. Dal 2015, il Dipartimento è risultato vincitore di 24</w:t>
      </w:r>
      <w:r>
        <w:rPr>
          <w:rFonts w:ascii="inherit" w:hAnsi="inherit" w:cs="Times New Roman"/>
          <w:color w:val="000000"/>
          <w:sz w:val="24"/>
          <w:szCs w:val="24"/>
          <w:bdr w:val="none" w:sz="0" w:space="0" w:color="auto" w:frame="1"/>
        </w:rPr>
        <w:t xml:space="preserve"> </w:t>
      </w:r>
      <w:r w:rsidRPr="00D61953">
        <w:rPr>
          <w:rFonts w:ascii="inherit" w:hAnsi="inherit" w:cs="Times New Roman"/>
          <w:color w:val="000000"/>
          <w:sz w:val="24"/>
          <w:szCs w:val="24"/>
          <w:bdr w:val="none" w:sz="0" w:space="0" w:color="auto" w:frame="1"/>
        </w:rPr>
        <w:t>PRIN, di cui 7 coordinati (per un totale di oltre 3M€), e partecipa a 2 progetti PON.</w:t>
      </w:r>
    </w:p>
    <w:p w14:paraId="590FE9A2" w14:textId="77777777" w:rsidR="0027292C" w:rsidRDefault="0027292C" w:rsidP="0027292C">
      <w:pPr>
        <w:pStyle w:val="xxxmsonormal1"/>
        <w:shd w:val="clear" w:color="auto" w:fill="FFFFFF"/>
        <w:spacing w:line="360" w:lineRule="atLeast"/>
        <w:jc w:val="both"/>
        <w:rPr>
          <w:rFonts w:ascii="inherit" w:hAnsi="inherit" w:cs="Times New Roman" w:hint="eastAsia"/>
          <w:color w:val="000000"/>
          <w:sz w:val="24"/>
          <w:szCs w:val="24"/>
          <w:bdr w:val="none" w:sz="0" w:space="0" w:color="auto" w:frame="1"/>
        </w:rPr>
      </w:pPr>
      <w:r>
        <w:rPr>
          <w:rFonts w:ascii="inherit" w:hAnsi="inherit" w:cs="Times New Roman"/>
          <w:color w:val="000000"/>
          <w:sz w:val="24"/>
          <w:szCs w:val="24"/>
          <w:bdr w:val="none" w:sz="0" w:space="0" w:color="auto" w:frame="1"/>
        </w:rPr>
        <w:t>Questo volume di attività sul fronte della ricerca e della innovazione determina la necessità di mettere a punto un sistema di protezione e valorizzazione dell’output di prodotti dell’innovazione che permetta il mantenimento degli standard consoni ad un Dipartimento così attivo e con le linee programmatiche dell’Ateneo.</w:t>
      </w:r>
    </w:p>
    <w:p w14:paraId="5282DFEA" w14:textId="77777777" w:rsidR="0027292C" w:rsidRPr="00C4182F" w:rsidRDefault="0027292C" w:rsidP="0027292C">
      <w:pPr>
        <w:pStyle w:val="xxxmsonormal1"/>
        <w:shd w:val="clear" w:color="auto" w:fill="FFFFFF"/>
        <w:spacing w:before="0" w:beforeAutospacing="0" w:after="0" w:afterAutospacing="0" w:line="360" w:lineRule="atLeast"/>
        <w:jc w:val="both"/>
        <w:rPr>
          <w:rFonts w:cs="Times New Roman"/>
          <w:color w:val="201F1E"/>
          <w:sz w:val="24"/>
          <w:szCs w:val="24"/>
        </w:rPr>
      </w:pPr>
      <w:r w:rsidRPr="00D61953">
        <w:rPr>
          <w:rFonts w:ascii="inherit" w:hAnsi="inherit" w:cs="Times New Roman"/>
          <w:color w:val="000000"/>
          <w:sz w:val="24"/>
          <w:szCs w:val="24"/>
          <w:bdr w:val="none" w:sz="0" w:space="0" w:color="auto" w:frame="1"/>
        </w:rPr>
        <w:t xml:space="preserve">Parte del lavoro da svolgere durante questo progetto sarà il monitoraggio, </w:t>
      </w:r>
      <w:r>
        <w:rPr>
          <w:rFonts w:ascii="inherit" w:hAnsi="inherit" w:cs="Times New Roman"/>
          <w:color w:val="000000"/>
          <w:sz w:val="24"/>
          <w:szCs w:val="24"/>
          <w:bdr w:val="none" w:sz="0" w:space="0" w:color="auto" w:frame="1"/>
        </w:rPr>
        <w:t xml:space="preserve">e l’approfondimento, </w:t>
      </w:r>
      <w:r w:rsidRPr="00C4182F">
        <w:rPr>
          <w:rFonts w:ascii="inherit" w:hAnsi="inherit" w:cs="Times New Roman"/>
          <w:color w:val="000000"/>
          <w:sz w:val="24"/>
          <w:szCs w:val="24"/>
          <w:bdr w:val="none" w:sz="0" w:space="0" w:color="auto" w:frame="1"/>
        </w:rPr>
        <w:t>delle fonti normative e giurisprudenziali che regolamentano</w:t>
      </w:r>
      <w:r>
        <w:rPr>
          <w:rFonts w:ascii="inherit" w:hAnsi="inherit" w:cs="Times New Roman"/>
          <w:color w:val="000000"/>
          <w:sz w:val="24"/>
          <w:szCs w:val="24"/>
          <w:bdr w:val="none" w:sz="0" w:space="0" w:color="auto" w:frame="1"/>
        </w:rPr>
        <w:t xml:space="preserve"> la tutela della proprietà intellettuale e della innovazione</w:t>
      </w:r>
      <w:r w:rsidRPr="00C4182F">
        <w:rPr>
          <w:rFonts w:ascii="inherit" w:hAnsi="inherit" w:cs="Times New Roman"/>
          <w:color w:val="000000"/>
          <w:sz w:val="24"/>
          <w:szCs w:val="24"/>
          <w:bdr w:val="none" w:sz="0" w:space="0" w:color="auto" w:frame="1"/>
        </w:rPr>
        <w:t>, con specifico riferimento all'ambito universitario</w:t>
      </w:r>
      <w:r>
        <w:rPr>
          <w:rFonts w:ascii="inherit" w:hAnsi="inherit" w:cs="Times New Roman"/>
          <w:color w:val="000000"/>
          <w:sz w:val="24"/>
          <w:szCs w:val="24"/>
          <w:bdr w:val="none" w:sz="0" w:space="0" w:color="auto" w:frame="1"/>
        </w:rPr>
        <w:t xml:space="preserve"> in cui il Dipartimento opera</w:t>
      </w:r>
      <w:r w:rsidRPr="00C4182F">
        <w:rPr>
          <w:rFonts w:ascii="inherit" w:hAnsi="inherit" w:cs="Times New Roman"/>
          <w:color w:val="000000"/>
          <w:sz w:val="24"/>
          <w:szCs w:val="24"/>
          <w:bdr w:val="none" w:sz="0" w:space="0" w:color="auto" w:frame="1"/>
        </w:rPr>
        <w:t>:</w:t>
      </w:r>
    </w:p>
    <w:p w14:paraId="01D4FBB6" w14:textId="77777777" w:rsidR="0027292C" w:rsidRPr="00C4182F" w:rsidRDefault="0027292C" w:rsidP="0027292C">
      <w:pPr>
        <w:pStyle w:val="xxxmsonormal1"/>
        <w:shd w:val="clear" w:color="auto" w:fill="FFFFFF"/>
        <w:spacing w:before="0" w:beforeAutospacing="0" w:after="0" w:afterAutospacing="0" w:line="360" w:lineRule="atLeast"/>
        <w:jc w:val="both"/>
        <w:rPr>
          <w:rFonts w:cs="Times New Roman"/>
          <w:color w:val="201F1E"/>
          <w:sz w:val="24"/>
          <w:szCs w:val="24"/>
        </w:rPr>
      </w:pPr>
      <w:r>
        <w:rPr>
          <w:rFonts w:ascii="inherit" w:hAnsi="inherit" w:cs="Times New Roman"/>
          <w:color w:val="000000"/>
          <w:sz w:val="24"/>
          <w:szCs w:val="24"/>
          <w:bdr w:val="none" w:sz="0" w:space="0" w:color="auto" w:frame="1"/>
        </w:rPr>
        <w:t xml:space="preserve">- </w:t>
      </w:r>
      <w:r w:rsidRPr="00C4182F">
        <w:rPr>
          <w:rFonts w:ascii="inherit" w:hAnsi="inherit" w:cs="Times New Roman"/>
          <w:color w:val="000000"/>
          <w:sz w:val="24"/>
          <w:szCs w:val="24"/>
          <w:bdr w:val="none" w:sz="0" w:space="0" w:color="auto" w:frame="1"/>
        </w:rPr>
        <w:t>la</w:t>
      </w:r>
      <w:r>
        <w:rPr>
          <w:rFonts w:ascii="inherit" w:hAnsi="inherit" w:cs="Times New Roman"/>
          <w:color w:val="000000"/>
          <w:sz w:val="24"/>
          <w:szCs w:val="24"/>
          <w:bdr w:val="none" w:sz="0" w:space="0" w:color="auto" w:frame="1"/>
        </w:rPr>
        <w:t xml:space="preserve"> regolamentazione della</w:t>
      </w:r>
      <w:r w:rsidRPr="00C4182F">
        <w:rPr>
          <w:rFonts w:ascii="inherit" w:hAnsi="inherit" w:cs="Times New Roman"/>
          <w:color w:val="000000"/>
          <w:sz w:val="24"/>
          <w:szCs w:val="24"/>
          <w:bdr w:val="none" w:sz="0" w:space="0" w:color="auto" w:frame="1"/>
        </w:rPr>
        <w:t xml:space="preserve"> proprietà intellettuale </w:t>
      </w:r>
      <w:r>
        <w:rPr>
          <w:rFonts w:ascii="inherit" w:hAnsi="inherit" w:cs="Times New Roman"/>
          <w:color w:val="000000"/>
          <w:sz w:val="24"/>
          <w:szCs w:val="24"/>
          <w:bdr w:val="none" w:sz="0" w:space="0" w:color="auto" w:frame="1"/>
        </w:rPr>
        <w:t>relativa alle innovazioni derivate dalla ricerca, commissionata o finanziata pubblicamente, nei settori biologici e biotecnologici, con particolare rilevanza legata al settore agricolo e delle varietà vegetali, con finalità di proteggere e sviluppare varietà vegetali innovative derivate dal breeding di Ateneo</w:t>
      </w:r>
      <w:r w:rsidRPr="00C4182F">
        <w:rPr>
          <w:rFonts w:ascii="inherit" w:hAnsi="inherit" w:cs="Times New Roman"/>
          <w:color w:val="000000"/>
          <w:sz w:val="24"/>
          <w:szCs w:val="24"/>
          <w:bdr w:val="none" w:sz="0" w:space="0" w:color="auto" w:frame="1"/>
        </w:rPr>
        <w:t>;</w:t>
      </w:r>
    </w:p>
    <w:p w14:paraId="62C93794" w14:textId="77777777" w:rsidR="0027292C" w:rsidRPr="00C4182F" w:rsidRDefault="0027292C" w:rsidP="0027292C">
      <w:pPr>
        <w:pStyle w:val="xxxmsonormal1"/>
        <w:shd w:val="clear" w:color="auto" w:fill="FFFFFF"/>
        <w:spacing w:before="0" w:beforeAutospacing="0" w:after="0" w:afterAutospacing="0" w:line="360" w:lineRule="atLeast"/>
        <w:jc w:val="both"/>
        <w:rPr>
          <w:rFonts w:cs="Times New Roman"/>
          <w:color w:val="201F1E"/>
          <w:sz w:val="24"/>
          <w:szCs w:val="24"/>
        </w:rPr>
      </w:pPr>
      <w:r>
        <w:rPr>
          <w:rFonts w:ascii="inherit" w:hAnsi="inherit" w:cs="Times New Roman"/>
          <w:color w:val="000000"/>
          <w:sz w:val="24"/>
          <w:szCs w:val="24"/>
          <w:bdr w:val="none" w:sz="0" w:space="0" w:color="auto" w:frame="1"/>
        </w:rPr>
        <w:t xml:space="preserve">- </w:t>
      </w:r>
      <w:r w:rsidRPr="00C4182F">
        <w:rPr>
          <w:rFonts w:ascii="inherit" w:hAnsi="inherit" w:cs="Times New Roman"/>
          <w:color w:val="000000"/>
          <w:sz w:val="24"/>
          <w:szCs w:val="24"/>
          <w:bdr w:val="none" w:sz="0" w:space="0" w:color="auto" w:frame="1"/>
        </w:rPr>
        <w:t>l</w:t>
      </w:r>
      <w:r>
        <w:rPr>
          <w:rFonts w:ascii="inherit" w:hAnsi="inherit" w:cs="Times New Roman"/>
          <w:color w:val="000000"/>
          <w:sz w:val="24"/>
          <w:szCs w:val="24"/>
          <w:bdr w:val="none" w:sz="0" w:space="0" w:color="auto" w:frame="1"/>
        </w:rPr>
        <w:t>o studio del funzionament</w:t>
      </w:r>
      <w:r>
        <w:rPr>
          <w:rFonts w:ascii="inherit" w:hAnsi="inherit" w:cs="Times New Roman" w:hint="eastAsia"/>
          <w:color w:val="000000"/>
          <w:sz w:val="24"/>
          <w:szCs w:val="24"/>
          <w:bdr w:val="none" w:sz="0" w:space="0" w:color="auto" w:frame="1"/>
        </w:rPr>
        <w:t>o</w:t>
      </w:r>
      <w:r>
        <w:rPr>
          <w:rFonts w:ascii="inherit" w:hAnsi="inherit" w:cs="Times New Roman"/>
          <w:color w:val="000000"/>
          <w:sz w:val="24"/>
          <w:szCs w:val="24"/>
          <w:bdr w:val="none" w:sz="0" w:space="0" w:color="auto" w:frame="1"/>
        </w:rPr>
        <w:t xml:space="preserve"> e della legislazione sottesa alla creazione e contribuzione allo sviluppo di banche </w:t>
      </w:r>
      <w:r w:rsidRPr="00C4182F">
        <w:rPr>
          <w:rFonts w:ascii="inherit" w:hAnsi="inherit" w:cs="Times New Roman"/>
          <w:color w:val="000000"/>
          <w:sz w:val="24"/>
          <w:szCs w:val="24"/>
          <w:bdr w:val="none" w:sz="0" w:space="0" w:color="auto" w:frame="1"/>
        </w:rPr>
        <w:t>dati biologiche;</w:t>
      </w:r>
    </w:p>
    <w:p w14:paraId="5C660707" w14:textId="77777777" w:rsidR="0027292C" w:rsidRPr="00C4182F" w:rsidRDefault="0027292C" w:rsidP="0027292C">
      <w:pPr>
        <w:pStyle w:val="xxxmsonormal1"/>
        <w:shd w:val="clear" w:color="auto" w:fill="FFFFFF"/>
        <w:spacing w:before="0" w:beforeAutospacing="0" w:after="0" w:afterAutospacing="0" w:line="360" w:lineRule="atLeast"/>
        <w:jc w:val="both"/>
        <w:rPr>
          <w:rFonts w:cs="Times New Roman"/>
          <w:color w:val="201F1E"/>
          <w:sz w:val="24"/>
          <w:szCs w:val="24"/>
        </w:rPr>
      </w:pPr>
      <w:r>
        <w:rPr>
          <w:rFonts w:ascii="inherit" w:hAnsi="inherit" w:cs="Times New Roman"/>
          <w:color w:val="000000"/>
          <w:sz w:val="24"/>
          <w:szCs w:val="24"/>
          <w:bdr w:val="none" w:sz="0" w:space="0" w:color="auto" w:frame="1"/>
        </w:rPr>
        <w:t>- la gestione de</w:t>
      </w:r>
      <w:r w:rsidRPr="00C4182F">
        <w:rPr>
          <w:rFonts w:ascii="inherit" w:hAnsi="inherit" w:cs="Times New Roman"/>
          <w:color w:val="000000"/>
          <w:sz w:val="24"/>
          <w:szCs w:val="24"/>
          <w:bdr w:val="none" w:sz="0" w:space="0" w:color="auto" w:frame="1"/>
        </w:rPr>
        <w:t>gli accordi di trasferimento tecnologico utilizzati nel settore delle innovazioni biotecnologiche</w:t>
      </w:r>
      <w:r>
        <w:rPr>
          <w:rFonts w:ascii="inherit" w:hAnsi="inherit" w:cs="Times New Roman"/>
          <w:color w:val="000000"/>
          <w:sz w:val="24"/>
          <w:szCs w:val="24"/>
          <w:bdr w:val="none" w:sz="0" w:space="0" w:color="auto" w:frame="1"/>
        </w:rPr>
        <w:t xml:space="preserve">, nelle sue molteplici forme, da quelli sottesi al trasferimento del materiale </w:t>
      </w:r>
      <w:r>
        <w:rPr>
          <w:rFonts w:ascii="inherit" w:hAnsi="inherit" w:cs="Times New Roman"/>
          <w:color w:val="000000"/>
          <w:sz w:val="24"/>
          <w:szCs w:val="24"/>
          <w:bdr w:val="none" w:sz="0" w:space="0" w:color="auto" w:frame="1"/>
        </w:rPr>
        <w:lastRenderedPageBreak/>
        <w:t xml:space="preserve">biologico </w:t>
      </w:r>
      <w:r w:rsidRPr="00C4182F">
        <w:rPr>
          <w:rFonts w:ascii="inherit" w:hAnsi="inherit" w:cs="Times New Roman"/>
          <w:color w:val="000000"/>
          <w:sz w:val="24"/>
          <w:szCs w:val="24"/>
          <w:bdr w:val="none" w:sz="0" w:space="0" w:color="auto" w:frame="1"/>
        </w:rPr>
        <w:t>(</w:t>
      </w:r>
      <w:proofErr w:type="spellStart"/>
      <w:r w:rsidRPr="00C52617">
        <w:rPr>
          <w:rFonts w:ascii="inherit" w:hAnsi="inherit" w:cs="Times New Roman"/>
          <w:i/>
          <w:color w:val="000000"/>
          <w:sz w:val="24"/>
          <w:szCs w:val="24"/>
          <w:bdr w:val="none" w:sz="0" w:space="0" w:color="auto" w:frame="1"/>
        </w:rPr>
        <w:t>Material</w:t>
      </w:r>
      <w:proofErr w:type="spellEnd"/>
      <w:r w:rsidRPr="00C52617">
        <w:rPr>
          <w:rFonts w:ascii="inherit" w:hAnsi="inherit" w:cs="Times New Roman"/>
          <w:i/>
          <w:color w:val="000000"/>
          <w:sz w:val="24"/>
          <w:szCs w:val="24"/>
          <w:bdr w:val="none" w:sz="0" w:space="0" w:color="auto" w:frame="1"/>
        </w:rPr>
        <w:t xml:space="preserve"> Transfer Agreement</w:t>
      </w:r>
      <w:r>
        <w:rPr>
          <w:rFonts w:ascii="inherit" w:hAnsi="inherit" w:cs="Times New Roman"/>
          <w:color w:val="000000"/>
          <w:sz w:val="24"/>
          <w:szCs w:val="24"/>
          <w:bdr w:val="none" w:sz="0" w:space="0" w:color="auto" w:frame="1"/>
        </w:rPr>
        <w:t xml:space="preserve">, ad esempio), anche in relazione ai dettami del Protocollo di Nagoya, a quelli legate a obbligazioni contrattuali esistenti fra le parti in merito alla protezione dei risultati e agli obblighi di segretezza (ad esempio, </w:t>
      </w:r>
      <w:r w:rsidRPr="00C52617">
        <w:rPr>
          <w:rFonts w:ascii="inherit" w:hAnsi="inherit" w:cs="Times New Roman"/>
          <w:i/>
          <w:color w:val="000000"/>
          <w:sz w:val="24"/>
          <w:szCs w:val="24"/>
          <w:bdr w:val="none" w:sz="0" w:space="0" w:color="auto" w:frame="1"/>
        </w:rPr>
        <w:t>Memorandum of Understanding</w:t>
      </w:r>
      <w:r>
        <w:rPr>
          <w:rFonts w:ascii="inherit" w:hAnsi="inherit" w:cs="Times New Roman"/>
          <w:color w:val="000000"/>
          <w:sz w:val="24"/>
          <w:szCs w:val="24"/>
          <w:bdr w:val="none" w:sz="0" w:space="0" w:color="auto" w:frame="1"/>
        </w:rPr>
        <w:t xml:space="preserve">, </w:t>
      </w:r>
      <w:r w:rsidRPr="00C52617">
        <w:rPr>
          <w:rFonts w:ascii="inherit" w:hAnsi="inherit" w:cs="Times New Roman"/>
          <w:i/>
          <w:color w:val="000000"/>
          <w:sz w:val="24"/>
          <w:szCs w:val="24"/>
          <w:bdr w:val="none" w:sz="0" w:space="0" w:color="auto" w:frame="1"/>
        </w:rPr>
        <w:t>Non-</w:t>
      </w:r>
      <w:proofErr w:type="spellStart"/>
      <w:r w:rsidRPr="00C52617">
        <w:rPr>
          <w:rFonts w:ascii="inherit" w:hAnsi="inherit" w:cs="Times New Roman"/>
          <w:i/>
          <w:color w:val="000000"/>
          <w:sz w:val="24"/>
          <w:szCs w:val="24"/>
          <w:bdr w:val="none" w:sz="0" w:space="0" w:color="auto" w:frame="1"/>
        </w:rPr>
        <w:t>Disclosure</w:t>
      </w:r>
      <w:proofErr w:type="spellEnd"/>
      <w:r w:rsidRPr="00C52617">
        <w:rPr>
          <w:rFonts w:ascii="inherit" w:hAnsi="inherit" w:cs="Times New Roman"/>
          <w:i/>
          <w:color w:val="000000"/>
          <w:sz w:val="24"/>
          <w:szCs w:val="24"/>
          <w:bdr w:val="none" w:sz="0" w:space="0" w:color="auto" w:frame="1"/>
        </w:rPr>
        <w:t xml:space="preserve"> Agreement</w:t>
      </w:r>
      <w:r>
        <w:rPr>
          <w:rFonts w:ascii="inherit" w:hAnsi="inherit" w:cs="Times New Roman"/>
          <w:color w:val="000000"/>
          <w:sz w:val="24"/>
          <w:szCs w:val="24"/>
          <w:bdr w:val="none" w:sz="0" w:space="0" w:color="auto" w:frame="1"/>
        </w:rPr>
        <w:t>,</w:t>
      </w:r>
      <w:r w:rsidRPr="00C4182F">
        <w:rPr>
          <w:rFonts w:ascii="inherit" w:hAnsi="inherit" w:cs="Times New Roman"/>
          <w:color w:val="000000"/>
          <w:sz w:val="24"/>
          <w:szCs w:val="24"/>
          <w:bdr w:val="none" w:sz="0" w:space="0" w:color="auto" w:frame="1"/>
        </w:rPr>
        <w:t xml:space="preserve"> ecc.)</w:t>
      </w:r>
    </w:p>
    <w:p w14:paraId="5128755A" w14:textId="77777777" w:rsidR="0027292C" w:rsidRPr="00C4182F" w:rsidRDefault="0027292C" w:rsidP="0027292C">
      <w:pPr>
        <w:pStyle w:val="xxxmsonormal1"/>
        <w:shd w:val="clear" w:color="auto" w:fill="FFFFFF"/>
        <w:spacing w:before="0" w:beforeAutospacing="0" w:after="0" w:afterAutospacing="0" w:line="360" w:lineRule="atLeast"/>
        <w:jc w:val="both"/>
        <w:rPr>
          <w:rFonts w:cs="Times New Roman"/>
          <w:color w:val="201F1E"/>
          <w:sz w:val="24"/>
          <w:szCs w:val="24"/>
        </w:rPr>
      </w:pPr>
      <w:r w:rsidRPr="00C4182F">
        <w:rPr>
          <w:rFonts w:ascii="inherit" w:hAnsi="inherit" w:cs="Times New Roman"/>
          <w:color w:val="000000"/>
          <w:sz w:val="24"/>
          <w:szCs w:val="24"/>
          <w:bdr w:val="none" w:sz="0" w:space="0" w:color="auto" w:frame="1"/>
        </w:rPr>
        <w:t>I risultati dello studio porteranno all’elaborazione di un rapporto finale, di sintesi e interpretazione della vigente normativa nel settore delle invenzioni biotecnologiche, che renderà possibile la tutela e la valorizzazione delle innovazioni conseguite nell’ambito delle attività di ricerca dell’Ateneo.</w:t>
      </w:r>
    </w:p>
    <w:p w14:paraId="182AE76C" w14:textId="7083E665" w:rsidR="00F6000C" w:rsidRDefault="00F6000C">
      <w:pPr>
        <w:rPr>
          <w:rFonts w:ascii="inherit" w:hAnsi="inherit" w:cs="Times New Roman" w:hint="eastAsia"/>
          <w:color w:val="000000"/>
          <w:bdr w:val="none" w:sz="0" w:space="0" w:color="auto" w:frame="1"/>
        </w:rPr>
      </w:pPr>
      <w:r>
        <w:rPr>
          <w:rFonts w:ascii="inherit" w:hAnsi="inherit" w:cs="Times New Roman" w:hint="eastAsia"/>
          <w:color w:val="000000"/>
          <w:bdr w:val="none" w:sz="0" w:space="0" w:color="auto" w:frame="1"/>
        </w:rPr>
        <w:br w:type="page"/>
      </w:r>
    </w:p>
    <w:p w14:paraId="0F2A9D91" w14:textId="77777777" w:rsidR="0027292C" w:rsidRPr="00D61953" w:rsidRDefault="0027292C" w:rsidP="0027292C">
      <w:pPr>
        <w:pStyle w:val="xxxmsonormal1"/>
        <w:shd w:val="clear" w:color="auto" w:fill="FFFFFF"/>
        <w:spacing w:before="0" w:beforeAutospacing="0" w:after="0" w:afterAutospacing="0" w:line="360" w:lineRule="atLeast"/>
        <w:jc w:val="both"/>
        <w:rPr>
          <w:rFonts w:ascii="inherit" w:hAnsi="inherit" w:cs="Times New Roman" w:hint="eastAsia"/>
          <w:color w:val="000000"/>
          <w:sz w:val="24"/>
          <w:szCs w:val="24"/>
          <w:bdr w:val="none" w:sz="0" w:space="0" w:color="auto" w:frame="1"/>
        </w:rPr>
      </w:pPr>
      <w:bookmarkStart w:id="0" w:name="_GoBack"/>
      <w:bookmarkEnd w:id="0"/>
    </w:p>
    <w:p w14:paraId="6D685213" w14:textId="6459F43B" w:rsidR="00522E6C" w:rsidRPr="0027292C" w:rsidRDefault="0027292C" w:rsidP="0027292C">
      <w:pPr>
        <w:pStyle w:val="xxxmsonormal1"/>
        <w:shd w:val="clear" w:color="auto" w:fill="FFFFFF"/>
        <w:spacing w:before="0" w:beforeAutospacing="0" w:after="0" w:afterAutospacing="0" w:line="360" w:lineRule="atLeast"/>
        <w:jc w:val="both"/>
        <w:rPr>
          <w:rFonts w:ascii="inherit" w:hAnsi="inherit" w:cs="Times New Roman"/>
          <w:color w:val="000000"/>
          <w:sz w:val="24"/>
          <w:szCs w:val="24"/>
          <w:bdr w:val="none" w:sz="0" w:space="0" w:color="auto" w:frame="1"/>
        </w:rPr>
      </w:pPr>
      <w:r w:rsidRPr="0027292C">
        <w:rPr>
          <w:rFonts w:ascii="inherit" w:hAnsi="inherit" w:cs="Times New Roman" w:hint="eastAsia"/>
          <w:color w:val="000000"/>
          <w:sz w:val="24"/>
          <w:szCs w:val="24"/>
          <w:bdr w:val="none" w:sz="0" w:space="0" w:color="auto" w:frame="1"/>
        </w:rPr>
        <w:t>PIANO DELLE ATTIVITÀ</w:t>
      </w:r>
      <w:r>
        <w:rPr>
          <w:rFonts w:ascii="inherit" w:hAnsi="inherit" w:cs="Times New Roman"/>
          <w:color w:val="000000"/>
          <w:sz w:val="24"/>
          <w:szCs w:val="24"/>
          <w:bdr w:val="none" w:sz="0" w:space="0" w:color="auto" w:frame="1"/>
        </w:rPr>
        <w:t xml:space="preserve"> (ITA)</w:t>
      </w:r>
    </w:p>
    <w:p w14:paraId="5FBAFFC0" w14:textId="77777777" w:rsidR="00C4182F" w:rsidRPr="00C4182F" w:rsidRDefault="00C4182F" w:rsidP="00C4182F">
      <w:pPr>
        <w:pStyle w:val="xxxmsonormal1"/>
        <w:shd w:val="clear" w:color="auto" w:fill="FFFFFF"/>
        <w:spacing w:before="0" w:beforeAutospacing="0" w:after="0" w:afterAutospacing="0" w:line="360" w:lineRule="atLeast"/>
        <w:jc w:val="both"/>
        <w:rPr>
          <w:rFonts w:cs="Times New Roman"/>
          <w:color w:val="201F1E"/>
          <w:sz w:val="24"/>
          <w:szCs w:val="24"/>
        </w:rPr>
      </w:pPr>
      <w:r w:rsidRPr="00C4182F">
        <w:rPr>
          <w:rFonts w:ascii="inherit" w:hAnsi="inherit" w:cs="Times New Roman"/>
          <w:color w:val="000000"/>
          <w:sz w:val="24"/>
          <w:szCs w:val="24"/>
          <w:bdr w:val="none" w:sz="0" w:space="0" w:color="auto" w:frame="1"/>
        </w:rPr>
        <w:t>L’attività verterà sulla ricerca e l’analisi delle fonti normative e giurisprudenziali che regolamentano, anche con specifico riferimento all'ambito universitario:</w:t>
      </w:r>
    </w:p>
    <w:p w14:paraId="23F24477" w14:textId="508DF482" w:rsidR="00C4182F" w:rsidRPr="00C4182F" w:rsidRDefault="00C4182F" w:rsidP="00C4182F">
      <w:pPr>
        <w:pStyle w:val="xxxmsonormal1"/>
        <w:shd w:val="clear" w:color="auto" w:fill="FFFFFF"/>
        <w:spacing w:before="0" w:beforeAutospacing="0" w:after="0" w:afterAutospacing="0" w:line="360" w:lineRule="atLeast"/>
        <w:jc w:val="both"/>
        <w:rPr>
          <w:rFonts w:cs="Times New Roman"/>
          <w:color w:val="201F1E"/>
          <w:sz w:val="24"/>
          <w:szCs w:val="24"/>
        </w:rPr>
      </w:pPr>
      <w:r>
        <w:rPr>
          <w:rFonts w:ascii="inherit" w:hAnsi="inherit" w:cs="Times New Roman"/>
          <w:color w:val="000000"/>
          <w:sz w:val="24"/>
          <w:szCs w:val="24"/>
          <w:bdr w:val="none" w:sz="0" w:space="0" w:color="auto" w:frame="1"/>
        </w:rPr>
        <w:t xml:space="preserve">- </w:t>
      </w:r>
      <w:r w:rsidRPr="00C4182F">
        <w:rPr>
          <w:rFonts w:ascii="inherit" w:hAnsi="inherit" w:cs="Times New Roman"/>
          <w:color w:val="000000"/>
          <w:sz w:val="24"/>
          <w:szCs w:val="24"/>
          <w:bdr w:val="none" w:sz="0" w:space="0" w:color="auto" w:frame="1"/>
        </w:rPr>
        <w:t>la proprietà intellettuale delle innovazioni biotecnologiche, con particolare riferimento alle biotecnologie agrarie vegetali, e le modalità per la tutela e la valorizzazione delle stesse;</w:t>
      </w:r>
    </w:p>
    <w:p w14:paraId="2039494C" w14:textId="77777777" w:rsidR="00C4182F" w:rsidRPr="00C4182F" w:rsidRDefault="00C4182F" w:rsidP="00C4182F">
      <w:pPr>
        <w:pStyle w:val="xxxmsonormal1"/>
        <w:shd w:val="clear" w:color="auto" w:fill="FFFFFF"/>
        <w:spacing w:before="0" w:beforeAutospacing="0" w:after="0" w:afterAutospacing="0" w:line="360" w:lineRule="atLeast"/>
        <w:jc w:val="both"/>
        <w:rPr>
          <w:rFonts w:cs="Times New Roman"/>
          <w:color w:val="201F1E"/>
          <w:sz w:val="24"/>
          <w:szCs w:val="24"/>
        </w:rPr>
      </w:pPr>
      <w:r>
        <w:rPr>
          <w:rFonts w:ascii="inherit" w:hAnsi="inherit" w:cs="Times New Roman"/>
          <w:color w:val="000000"/>
          <w:sz w:val="24"/>
          <w:szCs w:val="24"/>
          <w:bdr w:val="none" w:sz="0" w:space="0" w:color="auto" w:frame="1"/>
        </w:rPr>
        <w:t xml:space="preserve">- </w:t>
      </w:r>
      <w:r w:rsidRPr="00C4182F">
        <w:rPr>
          <w:rFonts w:ascii="inherit" w:hAnsi="inherit" w:cs="Times New Roman"/>
          <w:color w:val="000000"/>
          <w:sz w:val="24"/>
          <w:szCs w:val="24"/>
          <w:bdr w:val="none" w:sz="0" w:space="0" w:color="auto" w:frame="1"/>
        </w:rPr>
        <w:t>le banche dati biologiche;</w:t>
      </w:r>
    </w:p>
    <w:p w14:paraId="50BDA7B3" w14:textId="232D34D0" w:rsidR="00C4182F" w:rsidRPr="00C4182F" w:rsidRDefault="00C4182F" w:rsidP="00C4182F">
      <w:pPr>
        <w:pStyle w:val="xxxmsonormal1"/>
        <w:shd w:val="clear" w:color="auto" w:fill="FFFFFF"/>
        <w:spacing w:before="0" w:beforeAutospacing="0" w:after="0" w:afterAutospacing="0" w:line="360" w:lineRule="atLeast"/>
        <w:jc w:val="both"/>
        <w:rPr>
          <w:rFonts w:cs="Times New Roman"/>
          <w:color w:val="201F1E"/>
          <w:sz w:val="24"/>
          <w:szCs w:val="24"/>
        </w:rPr>
      </w:pPr>
      <w:r>
        <w:rPr>
          <w:rFonts w:ascii="inherit" w:hAnsi="inherit" w:cs="Times New Roman"/>
          <w:color w:val="000000"/>
          <w:sz w:val="24"/>
          <w:szCs w:val="24"/>
          <w:bdr w:val="none" w:sz="0" w:space="0" w:color="auto" w:frame="1"/>
        </w:rPr>
        <w:t xml:space="preserve">- </w:t>
      </w:r>
      <w:r w:rsidRPr="00C4182F">
        <w:rPr>
          <w:rFonts w:ascii="inherit" w:hAnsi="inherit" w:cs="Times New Roman"/>
          <w:color w:val="000000"/>
          <w:sz w:val="24"/>
          <w:szCs w:val="24"/>
          <w:bdr w:val="none" w:sz="0" w:space="0" w:color="auto" w:frame="1"/>
        </w:rPr>
        <w:t>gli accordi di trasferimento tecnologico utilizzati nel settore delle innovazioni biotecnologiche (</w:t>
      </w:r>
      <w:proofErr w:type="spellStart"/>
      <w:r w:rsidRPr="00C4182F">
        <w:rPr>
          <w:rFonts w:ascii="inherit" w:hAnsi="inherit" w:cs="Times New Roman"/>
          <w:color w:val="000000"/>
          <w:sz w:val="24"/>
          <w:szCs w:val="24"/>
          <w:bdr w:val="none" w:sz="0" w:space="0" w:color="auto" w:frame="1"/>
        </w:rPr>
        <w:t>Material</w:t>
      </w:r>
      <w:proofErr w:type="spellEnd"/>
      <w:r w:rsidRPr="00C4182F">
        <w:rPr>
          <w:rFonts w:ascii="inherit" w:hAnsi="inherit" w:cs="Times New Roman"/>
          <w:color w:val="000000"/>
          <w:sz w:val="24"/>
          <w:szCs w:val="24"/>
          <w:bdr w:val="none" w:sz="0" w:space="0" w:color="auto" w:frame="1"/>
        </w:rPr>
        <w:t xml:space="preserve"> Transfer Agreement</w:t>
      </w:r>
      <w:r w:rsidR="00792819">
        <w:rPr>
          <w:rFonts w:ascii="inherit" w:hAnsi="inherit" w:cs="Times New Roman"/>
          <w:color w:val="000000"/>
          <w:sz w:val="24"/>
          <w:szCs w:val="24"/>
          <w:bdr w:val="none" w:sz="0" w:space="0" w:color="auto" w:frame="1"/>
        </w:rPr>
        <w:t>, Non-</w:t>
      </w:r>
      <w:proofErr w:type="spellStart"/>
      <w:r w:rsidR="00792819">
        <w:rPr>
          <w:rFonts w:ascii="inherit" w:hAnsi="inherit" w:cs="Times New Roman"/>
          <w:color w:val="000000"/>
          <w:sz w:val="24"/>
          <w:szCs w:val="24"/>
          <w:bdr w:val="none" w:sz="0" w:space="0" w:color="auto" w:frame="1"/>
        </w:rPr>
        <w:t>Disclosure</w:t>
      </w:r>
      <w:proofErr w:type="spellEnd"/>
      <w:r w:rsidR="00792819">
        <w:rPr>
          <w:rFonts w:ascii="inherit" w:hAnsi="inherit" w:cs="Times New Roman"/>
          <w:color w:val="000000"/>
          <w:sz w:val="24"/>
          <w:szCs w:val="24"/>
          <w:bdr w:val="none" w:sz="0" w:space="0" w:color="auto" w:frame="1"/>
        </w:rPr>
        <w:t xml:space="preserve"> Agreements,</w:t>
      </w:r>
      <w:r w:rsidRPr="00C4182F">
        <w:rPr>
          <w:rFonts w:ascii="inherit" w:hAnsi="inherit" w:cs="Times New Roman"/>
          <w:color w:val="000000"/>
          <w:sz w:val="24"/>
          <w:szCs w:val="24"/>
          <w:bdr w:val="none" w:sz="0" w:space="0" w:color="auto" w:frame="1"/>
        </w:rPr>
        <w:t xml:space="preserve"> ecc.)</w:t>
      </w:r>
    </w:p>
    <w:p w14:paraId="16D7559F" w14:textId="2056D41A" w:rsidR="00C4182F" w:rsidRPr="00C4182F" w:rsidRDefault="00C4182F" w:rsidP="00C4182F">
      <w:pPr>
        <w:pStyle w:val="xxxmsonormal1"/>
        <w:shd w:val="clear" w:color="auto" w:fill="FFFFFF"/>
        <w:spacing w:before="0" w:beforeAutospacing="0" w:after="0" w:afterAutospacing="0" w:line="360" w:lineRule="atLeast"/>
        <w:jc w:val="both"/>
        <w:rPr>
          <w:rFonts w:cs="Times New Roman"/>
          <w:color w:val="201F1E"/>
          <w:sz w:val="24"/>
          <w:szCs w:val="24"/>
        </w:rPr>
      </w:pPr>
      <w:r w:rsidRPr="00C4182F">
        <w:rPr>
          <w:rFonts w:ascii="inherit" w:hAnsi="inherit" w:cs="Times New Roman"/>
          <w:color w:val="000000"/>
          <w:sz w:val="24"/>
          <w:szCs w:val="24"/>
          <w:bdr w:val="none" w:sz="0" w:space="0" w:color="auto" w:frame="1"/>
        </w:rPr>
        <w:t>I risultati dello studio porteranno all’elaborazione di un rapporto finale, di sintesi e interpretazione della vigente normativa nel settore delle invenzioni biotecnologiche, che renderà possibile la tutela e la valorizzazione delle innovazioni conseguite nell’ambito delle attività di ricerca dell’Ateneo.</w:t>
      </w:r>
    </w:p>
    <w:p w14:paraId="5DFC7533" w14:textId="0029582B" w:rsidR="00C4182F" w:rsidRDefault="00C4182F"/>
    <w:p w14:paraId="2CEB4415" w14:textId="23A01A61" w:rsidR="0028760F" w:rsidRPr="0027292C" w:rsidRDefault="0027292C" w:rsidP="0027292C">
      <w:pPr>
        <w:pStyle w:val="xxxmsonormal1"/>
        <w:shd w:val="clear" w:color="auto" w:fill="FFFFFF"/>
        <w:spacing w:before="0" w:beforeAutospacing="0" w:after="0" w:afterAutospacing="0" w:line="360" w:lineRule="atLeast"/>
        <w:jc w:val="both"/>
        <w:rPr>
          <w:rFonts w:ascii="inherit" w:hAnsi="inherit" w:cs="Times New Roman"/>
          <w:color w:val="000000"/>
          <w:sz w:val="24"/>
          <w:szCs w:val="24"/>
          <w:bdr w:val="none" w:sz="0" w:space="0" w:color="auto" w:frame="1"/>
        </w:rPr>
      </w:pPr>
      <w:r w:rsidRPr="0027292C">
        <w:rPr>
          <w:rFonts w:ascii="inherit" w:hAnsi="inherit" w:cs="Times New Roman" w:hint="eastAsia"/>
          <w:color w:val="000000"/>
          <w:sz w:val="24"/>
          <w:szCs w:val="24"/>
          <w:bdr w:val="none" w:sz="0" w:space="0" w:color="auto" w:frame="1"/>
        </w:rPr>
        <w:t>PLAN OF ACTIVITIES</w:t>
      </w:r>
      <w:r>
        <w:rPr>
          <w:rFonts w:ascii="inherit" w:hAnsi="inherit" w:cs="Times New Roman"/>
          <w:color w:val="000000"/>
          <w:sz w:val="24"/>
          <w:szCs w:val="24"/>
          <w:bdr w:val="none" w:sz="0" w:space="0" w:color="auto" w:frame="1"/>
        </w:rPr>
        <w:t xml:space="preserve"> (ENG)</w:t>
      </w:r>
    </w:p>
    <w:p w14:paraId="0D2F99F4" w14:textId="6E97994C" w:rsidR="0028760F" w:rsidRPr="00D61953" w:rsidRDefault="0028760F" w:rsidP="00792819">
      <w:pPr>
        <w:pStyle w:val="xxxmsonormal1"/>
        <w:shd w:val="clear" w:color="auto" w:fill="FFFFFF"/>
        <w:spacing w:before="0" w:beforeAutospacing="0" w:after="0" w:afterAutospacing="0" w:line="360" w:lineRule="atLeast"/>
        <w:jc w:val="both"/>
        <w:rPr>
          <w:rFonts w:ascii="inherit" w:hAnsi="inherit" w:cs="Times New Roman" w:hint="eastAsia"/>
          <w:color w:val="000000"/>
          <w:sz w:val="24"/>
          <w:szCs w:val="24"/>
          <w:bdr w:val="none" w:sz="0" w:space="0" w:color="auto" w:frame="1"/>
          <w:lang w:val="en-GB"/>
        </w:rPr>
      </w:pPr>
      <w:r w:rsidRPr="00D61953">
        <w:rPr>
          <w:rFonts w:ascii="inherit" w:hAnsi="inherit" w:cs="Times New Roman"/>
          <w:color w:val="000000"/>
          <w:sz w:val="24"/>
          <w:szCs w:val="24"/>
          <w:bdr w:val="none" w:sz="0" w:space="0" w:color="auto" w:frame="1"/>
          <w:lang w:val="en-GB"/>
        </w:rPr>
        <w:t xml:space="preserve">Activities will be related to the research and analysis of the </w:t>
      </w:r>
      <w:r w:rsidR="00792819" w:rsidRPr="00D61953">
        <w:rPr>
          <w:rFonts w:ascii="inherit" w:hAnsi="inherit" w:cs="Times New Roman"/>
          <w:color w:val="000000"/>
          <w:sz w:val="24"/>
          <w:szCs w:val="24"/>
          <w:bdr w:val="none" w:sz="0" w:space="0" w:color="auto" w:frame="1"/>
          <w:lang w:val="en-GB"/>
        </w:rPr>
        <w:t>regulation sources and body of laws, with a major focus on the Academic sector, that are the basis of:</w:t>
      </w:r>
    </w:p>
    <w:p w14:paraId="0C6977CC" w14:textId="3CEBF5D3" w:rsidR="00792819" w:rsidRPr="00D61953" w:rsidRDefault="00792819" w:rsidP="00792819">
      <w:pPr>
        <w:pStyle w:val="xxxmsonormal1"/>
        <w:numPr>
          <w:ilvl w:val="0"/>
          <w:numId w:val="2"/>
        </w:numPr>
        <w:shd w:val="clear" w:color="auto" w:fill="FFFFFF"/>
        <w:spacing w:before="0" w:beforeAutospacing="0" w:after="0" w:afterAutospacing="0" w:line="360" w:lineRule="atLeast"/>
        <w:jc w:val="both"/>
        <w:rPr>
          <w:rFonts w:ascii="inherit" w:hAnsi="inherit" w:cs="Times New Roman" w:hint="eastAsia"/>
          <w:color w:val="000000"/>
          <w:sz w:val="24"/>
          <w:szCs w:val="24"/>
          <w:bdr w:val="none" w:sz="0" w:space="0" w:color="auto" w:frame="1"/>
          <w:lang w:val="en-GB"/>
        </w:rPr>
      </w:pPr>
      <w:r w:rsidRPr="00D61953">
        <w:rPr>
          <w:rFonts w:ascii="inherit" w:hAnsi="inherit" w:cs="Times New Roman"/>
          <w:color w:val="000000"/>
          <w:sz w:val="24"/>
          <w:szCs w:val="24"/>
          <w:bdr w:val="none" w:sz="0" w:space="0" w:color="auto" w:frame="1"/>
          <w:lang w:val="en-GB"/>
        </w:rPr>
        <w:t>Intellectual property of biotechnological innovations, with particular focus on agri-food and vegetal biotechnologies, and the possibilities for their valorisation and protection;</w:t>
      </w:r>
    </w:p>
    <w:p w14:paraId="43426F87" w14:textId="2BB6E1F8" w:rsidR="00792819" w:rsidRPr="00D61953" w:rsidRDefault="00792819" w:rsidP="00792819">
      <w:pPr>
        <w:pStyle w:val="xxxmsonormal1"/>
        <w:numPr>
          <w:ilvl w:val="0"/>
          <w:numId w:val="2"/>
        </w:numPr>
        <w:shd w:val="clear" w:color="auto" w:fill="FFFFFF"/>
        <w:spacing w:before="0" w:beforeAutospacing="0" w:after="0" w:afterAutospacing="0" w:line="360" w:lineRule="atLeast"/>
        <w:jc w:val="both"/>
        <w:rPr>
          <w:rFonts w:ascii="inherit" w:hAnsi="inherit" w:cs="Times New Roman" w:hint="eastAsia"/>
          <w:color w:val="000000"/>
          <w:sz w:val="24"/>
          <w:szCs w:val="24"/>
          <w:bdr w:val="none" w:sz="0" w:space="0" w:color="auto" w:frame="1"/>
          <w:lang w:val="en-GB"/>
        </w:rPr>
      </w:pPr>
      <w:r w:rsidRPr="00D61953">
        <w:rPr>
          <w:rFonts w:ascii="inherit" w:hAnsi="inherit" w:cs="Times New Roman"/>
          <w:color w:val="000000"/>
          <w:sz w:val="24"/>
          <w:szCs w:val="24"/>
          <w:bdr w:val="none" w:sz="0" w:space="0" w:color="auto" w:frame="1"/>
          <w:lang w:val="en-GB"/>
        </w:rPr>
        <w:t>Biological data banks and repositories;</w:t>
      </w:r>
    </w:p>
    <w:p w14:paraId="2207C20F" w14:textId="38B77085" w:rsidR="00792819" w:rsidRPr="00792819" w:rsidRDefault="00792819" w:rsidP="00792819">
      <w:pPr>
        <w:pStyle w:val="xxxmsonormal1"/>
        <w:numPr>
          <w:ilvl w:val="0"/>
          <w:numId w:val="2"/>
        </w:numPr>
        <w:shd w:val="clear" w:color="auto" w:fill="FFFFFF"/>
        <w:spacing w:before="0" w:beforeAutospacing="0" w:after="0" w:afterAutospacing="0" w:line="360" w:lineRule="atLeast"/>
        <w:jc w:val="both"/>
        <w:rPr>
          <w:rFonts w:ascii="inherit" w:hAnsi="inherit" w:cs="Times New Roman" w:hint="eastAsia"/>
          <w:color w:val="000000"/>
          <w:sz w:val="24"/>
          <w:szCs w:val="24"/>
          <w:bdr w:val="none" w:sz="0" w:space="0" w:color="auto" w:frame="1"/>
          <w:lang w:val="en-GB"/>
        </w:rPr>
      </w:pPr>
      <w:r w:rsidRPr="00792819">
        <w:rPr>
          <w:rFonts w:ascii="inherit" w:hAnsi="inherit" w:cs="Times New Roman"/>
          <w:color w:val="000000"/>
          <w:sz w:val="24"/>
          <w:szCs w:val="24"/>
          <w:bdr w:val="none" w:sz="0" w:space="0" w:color="auto" w:frame="1"/>
          <w:lang w:val="en-GB"/>
        </w:rPr>
        <w:t xml:space="preserve">Technological agreements and specific agreements commonly used in the sector of biological and biotechnological innovations (i.e. Material Transfer Agreements, </w:t>
      </w:r>
      <w:r>
        <w:rPr>
          <w:rFonts w:ascii="inherit" w:hAnsi="inherit" w:cs="Times New Roman"/>
          <w:color w:val="000000"/>
          <w:sz w:val="24"/>
          <w:szCs w:val="24"/>
          <w:bdr w:val="none" w:sz="0" w:space="0" w:color="auto" w:frame="1"/>
          <w:lang w:val="en-GB"/>
        </w:rPr>
        <w:t>Non-Disclosure Agreements,</w:t>
      </w:r>
      <w:r w:rsidRPr="00792819">
        <w:rPr>
          <w:rFonts w:ascii="inherit" w:hAnsi="inherit" w:cs="Times New Roman"/>
          <w:color w:val="000000"/>
          <w:sz w:val="24"/>
          <w:szCs w:val="24"/>
          <w:bdr w:val="none" w:sz="0" w:space="0" w:color="auto" w:frame="1"/>
          <w:lang w:val="en-GB"/>
        </w:rPr>
        <w:t xml:space="preserve"> etc.).</w:t>
      </w:r>
    </w:p>
    <w:p w14:paraId="52A230C9" w14:textId="3E2D40D8" w:rsidR="00792819" w:rsidRDefault="00792819" w:rsidP="00792819">
      <w:pPr>
        <w:pStyle w:val="xxxmsonormal1"/>
        <w:shd w:val="clear" w:color="auto" w:fill="FFFFFF"/>
        <w:spacing w:before="0" w:beforeAutospacing="0" w:after="0" w:afterAutospacing="0" w:line="360" w:lineRule="atLeast"/>
        <w:jc w:val="both"/>
        <w:rPr>
          <w:rFonts w:ascii="inherit" w:hAnsi="inherit" w:cs="Times New Roman" w:hint="eastAsia"/>
          <w:color w:val="000000"/>
          <w:sz w:val="24"/>
          <w:szCs w:val="24"/>
          <w:bdr w:val="none" w:sz="0" w:space="0" w:color="auto" w:frame="1"/>
          <w:lang w:val="en-GB"/>
        </w:rPr>
      </w:pPr>
      <w:r w:rsidRPr="00D61953">
        <w:rPr>
          <w:rFonts w:ascii="inherit" w:hAnsi="inherit" w:cs="Times New Roman"/>
          <w:color w:val="000000"/>
          <w:sz w:val="24"/>
          <w:szCs w:val="24"/>
          <w:bdr w:val="none" w:sz="0" w:space="0" w:color="auto" w:frame="1"/>
          <w:lang w:val="en-GB"/>
        </w:rPr>
        <w:t>Results of the studies will generate a final report, summarizing the state of the art and the interpretation of the current regulations ruling the sector of biotechnological innovation, that will allow the protection and valorisation od the innovation generated by the research activities of the University.</w:t>
      </w:r>
    </w:p>
    <w:p w14:paraId="691D845E" w14:textId="2C6C0B8D" w:rsidR="00D61953" w:rsidRDefault="00D61953" w:rsidP="00792819">
      <w:pPr>
        <w:pStyle w:val="xxxmsonormal1"/>
        <w:shd w:val="clear" w:color="auto" w:fill="FFFFFF"/>
        <w:spacing w:before="0" w:beforeAutospacing="0" w:after="0" w:afterAutospacing="0" w:line="360" w:lineRule="atLeast"/>
        <w:jc w:val="both"/>
        <w:rPr>
          <w:rFonts w:ascii="inherit" w:hAnsi="inherit" w:cs="Times New Roman" w:hint="eastAsia"/>
          <w:color w:val="000000"/>
          <w:sz w:val="24"/>
          <w:szCs w:val="24"/>
          <w:bdr w:val="none" w:sz="0" w:space="0" w:color="auto" w:frame="1"/>
          <w:lang w:val="en-GB"/>
        </w:rPr>
      </w:pPr>
    </w:p>
    <w:p w14:paraId="4803EE4C" w14:textId="59D9BDCA" w:rsidR="00D61953" w:rsidRDefault="00D61953" w:rsidP="00792819">
      <w:pPr>
        <w:pStyle w:val="xxxmsonormal1"/>
        <w:shd w:val="clear" w:color="auto" w:fill="FFFFFF"/>
        <w:spacing w:before="0" w:beforeAutospacing="0" w:after="0" w:afterAutospacing="0" w:line="360" w:lineRule="atLeast"/>
        <w:jc w:val="both"/>
        <w:rPr>
          <w:rFonts w:ascii="inherit" w:hAnsi="inherit" w:cs="Times New Roman" w:hint="eastAsia"/>
          <w:color w:val="000000"/>
          <w:sz w:val="24"/>
          <w:szCs w:val="24"/>
          <w:bdr w:val="none" w:sz="0" w:space="0" w:color="auto" w:frame="1"/>
          <w:lang w:val="en-GB"/>
        </w:rPr>
      </w:pPr>
    </w:p>
    <w:p w14:paraId="1152C29B" w14:textId="2F006E14" w:rsidR="00D61953" w:rsidRDefault="00D61953" w:rsidP="00792819">
      <w:pPr>
        <w:pStyle w:val="xxxmsonormal1"/>
        <w:shd w:val="clear" w:color="auto" w:fill="FFFFFF"/>
        <w:spacing w:before="0" w:beforeAutospacing="0" w:after="0" w:afterAutospacing="0" w:line="360" w:lineRule="atLeast"/>
        <w:jc w:val="both"/>
        <w:rPr>
          <w:rFonts w:ascii="inherit" w:hAnsi="inherit" w:cs="Times New Roman" w:hint="eastAsia"/>
          <w:color w:val="000000"/>
          <w:sz w:val="24"/>
          <w:szCs w:val="24"/>
          <w:bdr w:val="none" w:sz="0" w:space="0" w:color="auto" w:frame="1"/>
          <w:lang w:val="en-GB"/>
        </w:rPr>
      </w:pPr>
    </w:p>
    <w:sectPr w:rsidR="00D61953" w:rsidSect="001C4B2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F4BEF"/>
    <w:multiLevelType w:val="hybridMultilevel"/>
    <w:tmpl w:val="F2789436"/>
    <w:lvl w:ilvl="0" w:tplc="8F04F88E">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E131369"/>
    <w:multiLevelType w:val="hybridMultilevel"/>
    <w:tmpl w:val="8E607D5C"/>
    <w:lvl w:ilvl="0" w:tplc="8F04F88E">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182F"/>
    <w:rsid w:val="001C4B2A"/>
    <w:rsid w:val="0027292C"/>
    <w:rsid w:val="0028760F"/>
    <w:rsid w:val="003C41F7"/>
    <w:rsid w:val="00522E6C"/>
    <w:rsid w:val="00792819"/>
    <w:rsid w:val="00C4182F"/>
    <w:rsid w:val="00C52617"/>
    <w:rsid w:val="00D61953"/>
    <w:rsid w:val="00F6000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56AB02"/>
  <w14:defaultImageDpi w14:val="300"/>
  <w15:docId w15:val="{A0279C96-C785-4268-B15F-0C79519C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xxmsonormal1">
    <w:name w:val="x_xxmsonormal1"/>
    <w:basedOn w:val="Normale"/>
    <w:rsid w:val="00C4182F"/>
    <w:pPr>
      <w:spacing w:before="100" w:beforeAutospacing="1" w:after="100" w:afterAutospacing="1"/>
    </w:pPr>
    <w:rPr>
      <w:rFonts w:ascii="Times New Roman" w:hAnsi="Times New Roman"/>
      <w:sz w:val="20"/>
      <w:szCs w:val="20"/>
    </w:rPr>
  </w:style>
  <w:style w:type="paragraph" w:styleId="Paragrafoelenco">
    <w:name w:val="List Paragraph"/>
    <w:basedOn w:val="Normale"/>
    <w:uiPriority w:val="34"/>
    <w:qFormat/>
    <w:rsid w:val="007928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154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808</Words>
  <Characters>4608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Piano delle attività</vt:lpstr>
    </vt:vector>
  </TitlesOfParts>
  <Manager/>
  <Company>UNIBO</Company>
  <LinksUpToDate>false</LinksUpToDate>
  <CharactersWithSpaces>5406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delle attività</dc:title>
  <dc:subject/>
  <dc:creator>DISTAL e KTO</dc:creator>
  <cp:keywords/>
  <dc:description/>
  <cp:lastModifiedBy>Andrea Gamberini</cp:lastModifiedBy>
  <cp:revision>6</cp:revision>
  <dcterms:created xsi:type="dcterms:W3CDTF">2020-10-16T06:03:00Z</dcterms:created>
  <dcterms:modified xsi:type="dcterms:W3CDTF">2023-03-03T13:15:00Z</dcterms:modified>
  <cp:category/>
</cp:coreProperties>
</file>